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4F" w:rsidRDefault="00927C2D" w:rsidP="00927C2D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-141605</wp:posOffset>
            </wp:positionV>
            <wp:extent cx="492760" cy="612140"/>
            <wp:effectExtent l="19050" t="0" r="2540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C2D" w:rsidRDefault="00927C2D" w:rsidP="00927C2D">
      <w:pPr>
        <w:jc w:val="right"/>
      </w:pPr>
      <w:r>
        <w:t xml:space="preserve">                     </w:t>
      </w:r>
    </w:p>
    <w:tbl>
      <w:tblPr>
        <w:tblW w:w="10608" w:type="dxa"/>
        <w:tblLayout w:type="fixed"/>
        <w:tblLook w:val="01E0"/>
      </w:tblPr>
      <w:tblGrid>
        <w:gridCol w:w="10608"/>
      </w:tblGrid>
      <w:tr w:rsidR="00927C2D" w:rsidRPr="007C402D" w:rsidTr="00927C2D">
        <w:trPr>
          <w:trHeight w:hRule="exact" w:val="2005"/>
        </w:trPr>
        <w:tc>
          <w:tcPr>
            <w:tcW w:w="10608" w:type="dxa"/>
          </w:tcPr>
          <w:p w:rsidR="00927C2D" w:rsidRDefault="00927C2D" w:rsidP="0014327C">
            <w:pPr>
              <w:jc w:val="center"/>
              <w:rPr>
                <w:b/>
                <w:sz w:val="26"/>
              </w:rPr>
            </w:pPr>
          </w:p>
          <w:p w:rsidR="00927C2D" w:rsidRDefault="00927C2D" w:rsidP="00927C2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927C2D" w:rsidRDefault="00927C2D" w:rsidP="00927C2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927C2D" w:rsidRDefault="00927C2D" w:rsidP="00927C2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927C2D" w:rsidRDefault="00927C2D" w:rsidP="00927C2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927C2D" w:rsidRDefault="00927C2D" w:rsidP="00927C2D">
            <w:pPr>
              <w:jc w:val="center"/>
              <w:rPr>
                <w:b/>
                <w:spacing w:val="40"/>
                <w:sz w:val="12"/>
              </w:rPr>
            </w:pPr>
          </w:p>
          <w:p w:rsidR="00927C2D" w:rsidRPr="00D2159A" w:rsidRDefault="00927C2D" w:rsidP="00927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927C2D" w:rsidRPr="007C402D" w:rsidRDefault="00927C2D" w:rsidP="0014327C">
            <w:pPr>
              <w:jc w:val="center"/>
              <w:rPr>
                <w:b/>
                <w:i/>
                <w:sz w:val="26"/>
              </w:rPr>
            </w:pPr>
          </w:p>
        </w:tc>
      </w:tr>
      <w:tr w:rsidR="00927C2D" w:rsidTr="00927C2D">
        <w:trPr>
          <w:trHeight w:hRule="exact" w:val="1688"/>
        </w:trPr>
        <w:tc>
          <w:tcPr>
            <w:tcW w:w="10608" w:type="dxa"/>
          </w:tcPr>
          <w:p w:rsidR="00927C2D" w:rsidRDefault="00927C2D" w:rsidP="0014327C"/>
          <w:p w:rsidR="00927C2D" w:rsidRDefault="00927C2D" w:rsidP="0014327C"/>
          <w:p w:rsidR="00927C2D" w:rsidRPr="005175EE" w:rsidRDefault="005175EE" w:rsidP="005175EE">
            <w:pPr>
              <w:tabs>
                <w:tab w:val="left" w:pos="9356"/>
              </w:tabs>
              <w:rPr>
                <w:u w:val="single"/>
              </w:rPr>
            </w:pPr>
            <w:r>
              <w:t xml:space="preserve">« </w:t>
            </w:r>
            <w:r>
              <w:rPr>
                <w:u w:val="single"/>
              </w:rPr>
              <w:t xml:space="preserve">   12   </w:t>
            </w:r>
            <w:r>
              <w:t xml:space="preserve">  » </w:t>
            </w:r>
            <w:r>
              <w:rPr>
                <w:u w:val="single"/>
              </w:rPr>
              <w:t xml:space="preserve">       декабря      </w:t>
            </w:r>
            <w:r w:rsidR="00927C2D">
              <w:t xml:space="preserve">2018 г.                                                         </w:t>
            </w:r>
            <w:r>
              <w:t xml:space="preserve">           № </w:t>
            </w:r>
            <w:r>
              <w:rPr>
                <w:u w:val="single"/>
              </w:rPr>
              <w:t xml:space="preserve">             18_____        </w:t>
            </w:r>
          </w:p>
          <w:p w:rsidR="005175EE" w:rsidRPr="005175EE" w:rsidRDefault="00927C2D" w:rsidP="0014327C"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927C2D" w:rsidRPr="002957F1" w:rsidRDefault="00927C2D" w:rsidP="00927C2D">
      <w:pPr>
        <w:pStyle w:val="a8"/>
        <w:ind w:right="4677"/>
        <w:jc w:val="both"/>
        <w:rPr>
          <w:bCs/>
        </w:rPr>
      </w:pPr>
      <w:r>
        <w:rPr>
          <w:bCs/>
        </w:rPr>
        <w:t>Об утверждении Порядка предоставления налоговых льгот по земельному налогу инвесторам, реализующим проекты на территории сельского поселения Малый Атлым</w:t>
      </w:r>
    </w:p>
    <w:p w:rsidR="00927C2D" w:rsidRDefault="00927C2D" w:rsidP="00A21A4F"/>
    <w:p w:rsidR="00927C2D" w:rsidRDefault="00927C2D" w:rsidP="00A21A4F"/>
    <w:p w:rsidR="00A21A4F" w:rsidRPr="00021A97" w:rsidRDefault="00021A97" w:rsidP="00021A9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       </w:t>
      </w:r>
      <w:proofErr w:type="gramStart"/>
      <w:r w:rsidR="00A21A4F" w:rsidRPr="00021A97">
        <w:rPr>
          <w:rFonts w:ascii="Times New Roman CYR" w:hAnsi="Times New Roman CYR" w:cs="Times New Roman CYR"/>
          <w:color w:val="000000"/>
        </w:rPr>
        <w:t xml:space="preserve">В соответствии с </w:t>
      </w:r>
      <w:r w:rsidR="00A21A4F" w:rsidRPr="00021A97">
        <w:rPr>
          <w:rFonts w:ascii="Times New Roman CYR" w:hAnsi="Times New Roman CYR" w:cs="Times New Roman CYR"/>
        </w:rPr>
        <w:t>Федеральны</w:t>
      </w:r>
      <w:r w:rsidR="00741264">
        <w:rPr>
          <w:rFonts w:ascii="Times New Roman CYR" w:hAnsi="Times New Roman CYR" w:cs="Times New Roman CYR"/>
        </w:rPr>
        <w:t xml:space="preserve">м законом от 06.10.2003г. № 131-ФЗ </w:t>
      </w:r>
      <w:r w:rsidR="00A21A4F" w:rsidRPr="00B5368E">
        <w:t>«</w:t>
      </w:r>
      <w:r w:rsidR="00A21A4F" w:rsidRPr="00021A97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A21A4F" w:rsidRPr="00B5368E">
        <w:t xml:space="preserve">», </w:t>
      </w:r>
      <w:r w:rsidR="00A21A4F" w:rsidRPr="00021A97">
        <w:rPr>
          <w:rFonts w:ascii="Times New Roman CYR" w:hAnsi="Times New Roman CYR" w:cs="Times New Roman CYR"/>
          <w:color w:val="000000"/>
        </w:rPr>
        <w:t xml:space="preserve">Налоговым кодексом Российской Федерации, Уставом муниципального образования сельское поселение </w:t>
      </w:r>
      <w:r w:rsidR="00FB2DBB">
        <w:rPr>
          <w:rFonts w:ascii="Times New Roman CYR" w:hAnsi="Times New Roman CYR" w:cs="Times New Roman CYR"/>
          <w:color w:val="000000"/>
        </w:rPr>
        <w:t>Малый Атлым</w:t>
      </w:r>
      <w:r w:rsidR="00A21A4F" w:rsidRPr="00021A97">
        <w:rPr>
          <w:rFonts w:ascii="Times New Roman CYR" w:hAnsi="Times New Roman CYR" w:cs="Times New Roman CYR"/>
          <w:color w:val="000000"/>
        </w:rPr>
        <w:t xml:space="preserve">, </w:t>
      </w:r>
      <w:r w:rsidR="00A21A4F" w:rsidRPr="00021A97">
        <w:rPr>
          <w:rFonts w:ascii="Times New Roman CYR" w:hAnsi="Times New Roman CYR" w:cs="Times New Roman CYR"/>
        </w:rPr>
        <w:t xml:space="preserve">в целях повышения эффективности экономического развития сельского поселения </w:t>
      </w:r>
      <w:r w:rsidR="00FB2DBB">
        <w:rPr>
          <w:rFonts w:ascii="Times New Roman CYR" w:hAnsi="Times New Roman CYR" w:cs="Times New Roman CYR"/>
        </w:rPr>
        <w:t>Малый Атлым</w:t>
      </w:r>
      <w:r w:rsidR="00A21A4F" w:rsidRPr="00021A97">
        <w:rPr>
          <w:rFonts w:ascii="Times New Roman CYR" w:hAnsi="Times New Roman CYR" w:cs="Times New Roman CYR"/>
        </w:rPr>
        <w:t xml:space="preserve"> за счет привлечения инвестиций в сферу материального производства, стимулирования инвестиционной активности предпринимателей, Совет депутатов</w:t>
      </w:r>
      <w:r w:rsidR="00741264">
        <w:rPr>
          <w:rFonts w:ascii="Times New Roman CYR" w:hAnsi="Times New Roman CYR" w:cs="Times New Roman CYR"/>
        </w:rPr>
        <w:t xml:space="preserve"> сельского поселения Малый Атлым</w:t>
      </w:r>
      <w:r w:rsidR="00A21A4F" w:rsidRPr="00021A97">
        <w:rPr>
          <w:rFonts w:ascii="Times New Roman CYR" w:hAnsi="Times New Roman CYR" w:cs="Times New Roman CYR"/>
        </w:rPr>
        <w:t xml:space="preserve"> решил:</w:t>
      </w:r>
      <w:proofErr w:type="gramEnd"/>
    </w:p>
    <w:p w:rsidR="00A21A4F" w:rsidRPr="00F31212" w:rsidRDefault="00021A97" w:rsidP="00A21A4F">
      <w:pPr>
        <w:pStyle w:val="ConsPlusTitl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21A4F"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Порядок предоставления налоговых льгот по земельному налогу инвесторам, реализующим проекты на территории сельского поселения </w:t>
      </w:r>
      <w:r w:rsidR="00FB2DBB">
        <w:rPr>
          <w:rFonts w:ascii="Times New Roman" w:hAnsi="Times New Roman" w:cs="Times New Roman"/>
          <w:b w:val="0"/>
          <w:bCs w:val="0"/>
          <w:sz w:val="24"/>
          <w:szCs w:val="24"/>
        </w:rPr>
        <w:t>Малый Атлым,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1A4F"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согласно </w:t>
      </w:r>
      <w:r w:rsidR="00A21A4F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A21A4F"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риложению № 1 к настоящему решению.</w:t>
      </w:r>
    </w:p>
    <w:p w:rsidR="00A21A4F" w:rsidRDefault="00021A97" w:rsidP="00A21A4F">
      <w:pPr>
        <w:pStyle w:val="ConsPlusTitl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21A4F"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форму налогового соглашения, заключаемого с пользователем налоговых льгот согласно </w:t>
      </w:r>
      <w:r w:rsidR="00A21A4F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A21A4F"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риложению № 2 к настоящему решению.</w:t>
      </w:r>
    </w:p>
    <w:p w:rsidR="00A21A4F" w:rsidRPr="00021A97" w:rsidRDefault="00021A97" w:rsidP="00021A97">
      <w:pPr>
        <w:pStyle w:val="ConsPlusTitl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21A4F" w:rsidRPr="00021A97">
        <w:rPr>
          <w:rFonts w:ascii="Times New Roman" w:hAnsi="Times New Roman" w:cs="Times New Roman"/>
          <w:b w:val="0"/>
          <w:sz w:val="24"/>
          <w:szCs w:val="24"/>
        </w:rPr>
        <w:t>Направить решение для опубликования в газету «Октябрьские вести».</w:t>
      </w:r>
    </w:p>
    <w:p w:rsidR="00A21A4F" w:rsidRPr="00021A97" w:rsidRDefault="00021A97" w:rsidP="00021A97">
      <w:pPr>
        <w:pStyle w:val="ConsPlusTitl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21A4F" w:rsidRPr="00021A97">
        <w:rPr>
          <w:rFonts w:ascii="Times New Roman" w:hAnsi="Times New Roman" w:cs="Times New Roman"/>
          <w:b w:val="0"/>
          <w:sz w:val="24"/>
          <w:szCs w:val="24"/>
        </w:rPr>
        <w:t>Решение вступает в силу после официального опубликования.</w:t>
      </w:r>
    </w:p>
    <w:p w:rsidR="00A21A4F" w:rsidRDefault="00A21A4F" w:rsidP="00A21A4F">
      <w:pPr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A21A4F" w:rsidRDefault="00A21A4F" w:rsidP="00A21A4F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B2DBB" w:rsidRDefault="00FB2DBB" w:rsidP="00A2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DBB" w:rsidRDefault="00FB2DBB" w:rsidP="00A2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A4F" w:rsidRPr="00680D90" w:rsidRDefault="00A21A4F" w:rsidP="005175EE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0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B2DBB">
        <w:rPr>
          <w:rFonts w:ascii="Times New Roman" w:hAnsi="Times New Roman" w:cs="Times New Roman"/>
          <w:sz w:val="24"/>
          <w:szCs w:val="24"/>
        </w:rPr>
        <w:t xml:space="preserve"> </w:t>
      </w:r>
      <w:r w:rsidRPr="00680D9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DBB">
        <w:rPr>
          <w:rFonts w:ascii="Times New Roman" w:hAnsi="Times New Roman" w:cs="Times New Roman"/>
          <w:sz w:val="24"/>
          <w:szCs w:val="24"/>
        </w:rPr>
        <w:t>Малый Атлым</w:t>
      </w:r>
      <w:r w:rsidR="00021A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B2DBB">
        <w:rPr>
          <w:rFonts w:ascii="Times New Roman" w:hAnsi="Times New Roman" w:cs="Times New Roman"/>
          <w:sz w:val="24"/>
          <w:szCs w:val="24"/>
        </w:rPr>
        <w:t xml:space="preserve">  Дейнеко С.В.</w:t>
      </w:r>
    </w:p>
    <w:p w:rsidR="00A21A4F" w:rsidRDefault="00A21A4F" w:rsidP="00A21A4F">
      <w:pPr>
        <w:jc w:val="both"/>
      </w:pPr>
    </w:p>
    <w:p w:rsidR="00A21A4F" w:rsidRDefault="00A21A4F" w:rsidP="00A21A4F">
      <w:pPr>
        <w:jc w:val="both"/>
      </w:pPr>
    </w:p>
    <w:p w:rsidR="00A21A4F" w:rsidRDefault="00A21A4F" w:rsidP="00A21A4F">
      <w:pPr>
        <w:jc w:val="both"/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tabs>
          <w:tab w:val="left" w:pos="10065"/>
          <w:tab w:val="left" w:pos="12474"/>
        </w:tabs>
      </w:pPr>
    </w:p>
    <w:p w:rsidR="00021A97" w:rsidRDefault="00021A97" w:rsidP="00A21A4F">
      <w:pPr>
        <w:tabs>
          <w:tab w:val="left" w:pos="10065"/>
          <w:tab w:val="left" w:pos="12474"/>
        </w:tabs>
      </w:pPr>
    </w:p>
    <w:p w:rsidR="00021A97" w:rsidRDefault="00021A97" w:rsidP="00A21A4F">
      <w:pPr>
        <w:tabs>
          <w:tab w:val="left" w:pos="10065"/>
          <w:tab w:val="left" w:pos="12474"/>
        </w:tabs>
      </w:pP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4E2BD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</w:t>
      </w:r>
      <w:r w:rsidRPr="00021A97">
        <w:rPr>
          <w:rFonts w:ascii="Times New Roman" w:hAnsi="Times New Roman" w:cs="Times New Roman"/>
          <w:b w:val="0"/>
          <w:bCs w:val="0"/>
        </w:rPr>
        <w:t>Приложение</w:t>
      </w:r>
      <w:r w:rsidR="00941C0D">
        <w:rPr>
          <w:rFonts w:ascii="Times New Roman" w:hAnsi="Times New Roman" w:cs="Times New Roman"/>
          <w:b w:val="0"/>
          <w:bCs w:val="0"/>
        </w:rPr>
        <w:t xml:space="preserve"> № 1</w:t>
      </w: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021A97">
        <w:rPr>
          <w:rFonts w:ascii="Times New Roman" w:hAnsi="Times New Roman" w:cs="Times New Roman"/>
          <w:b w:val="0"/>
          <w:bCs w:val="0"/>
        </w:rPr>
        <w:t>к решению Совета депутатов</w:t>
      </w: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021A9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="00FB2DBB">
        <w:rPr>
          <w:rFonts w:ascii="Times New Roman" w:hAnsi="Times New Roman" w:cs="Times New Roman"/>
          <w:b w:val="0"/>
          <w:bCs w:val="0"/>
        </w:rPr>
        <w:t>Малый Атлым</w:t>
      </w:r>
    </w:p>
    <w:p w:rsidR="001926D5" w:rsidRPr="004E2BDF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1A97">
        <w:rPr>
          <w:rFonts w:ascii="Times New Roman" w:hAnsi="Times New Roman" w:cs="Times New Roman"/>
          <w:b w:val="0"/>
          <w:bCs w:val="0"/>
        </w:rPr>
        <w:t>от «</w:t>
      </w:r>
      <w:r w:rsidR="005175EE">
        <w:rPr>
          <w:rFonts w:ascii="Times New Roman" w:hAnsi="Times New Roman" w:cs="Times New Roman"/>
          <w:b w:val="0"/>
          <w:bCs w:val="0"/>
          <w:u w:val="single"/>
        </w:rPr>
        <w:t>12</w:t>
      </w:r>
      <w:r w:rsidRPr="00021A97">
        <w:rPr>
          <w:rFonts w:ascii="Times New Roman" w:hAnsi="Times New Roman" w:cs="Times New Roman"/>
          <w:b w:val="0"/>
          <w:bCs w:val="0"/>
        </w:rPr>
        <w:t>»</w:t>
      </w:r>
      <w:proofErr w:type="spellStart"/>
      <w:r w:rsidR="005175EE">
        <w:rPr>
          <w:rFonts w:ascii="Times New Roman" w:hAnsi="Times New Roman" w:cs="Times New Roman"/>
          <w:b w:val="0"/>
          <w:bCs w:val="0"/>
          <w:u w:val="single"/>
        </w:rPr>
        <w:t>_декабря</w:t>
      </w:r>
      <w:proofErr w:type="spellEnd"/>
      <w:r w:rsidR="005175EE">
        <w:rPr>
          <w:rFonts w:ascii="Times New Roman" w:hAnsi="Times New Roman" w:cs="Times New Roman"/>
          <w:b w:val="0"/>
          <w:bCs w:val="0"/>
          <w:u w:val="single"/>
        </w:rPr>
        <w:t xml:space="preserve">  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2018</w:t>
      </w:r>
      <w:r w:rsidRPr="00021A97">
        <w:rPr>
          <w:rFonts w:ascii="Times New Roman" w:hAnsi="Times New Roman" w:cs="Times New Roman"/>
          <w:b w:val="0"/>
          <w:bCs w:val="0"/>
        </w:rPr>
        <w:t>г. №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__</w:t>
      </w:r>
      <w:r w:rsidR="005175EE">
        <w:rPr>
          <w:rFonts w:ascii="Times New Roman" w:hAnsi="Times New Roman" w:cs="Times New Roman"/>
          <w:b w:val="0"/>
          <w:bCs w:val="0"/>
          <w:u w:val="single"/>
        </w:rPr>
        <w:t>18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__</w:t>
      </w:r>
    </w:p>
    <w:p w:rsidR="00021A97" w:rsidRDefault="00021A97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Cs w:val="0"/>
          <w:sz w:val="24"/>
          <w:szCs w:val="24"/>
        </w:rPr>
        <w:t>Порядок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Cs w:val="0"/>
          <w:sz w:val="24"/>
          <w:szCs w:val="24"/>
        </w:rPr>
        <w:t>предоставления налоговых льгот по земельному налогу инвесторам, реализующим проекты на территории сельского поселения</w:t>
      </w:r>
      <w:r w:rsidR="00FB2DBB">
        <w:rPr>
          <w:rFonts w:ascii="Times New Roman" w:hAnsi="Times New Roman" w:cs="Times New Roman"/>
          <w:bCs w:val="0"/>
          <w:sz w:val="24"/>
          <w:szCs w:val="24"/>
        </w:rPr>
        <w:t xml:space="preserve"> Малый Атлым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Основной целью предоставления льгот по земельному налогу инвесторам, реализующим проекты на территории сельского поселения 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>Малый Атлым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Октябрьского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района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сельского поселения</w:t>
      </w:r>
      <w:r w:rsidR="00021A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Малый Атлым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Октябрьского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района (далее –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сельское поселение).</w:t>
      </w:r>
      <w:proofErr w:type="gramEnd"/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ьгота) инвесторам, реализующим инвестиционные проекты, которые включены в реестр инвестиционных проектов на территории сельского поселения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1.2. В целях настоящего Порядка применяются следующие понятия и термины: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1.2.3.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дств в ф</w:t>
      </w:r>
      <w:proofErr w:type="gramEnd"/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Ханты –</w:t>
      </w:r>
      <w:r w:rsidR="007412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Мансийского автономного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округа-Югры</w:t>
      </w:r>
      <w:proofErr w:type="spellEnd"/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Пользователями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предоставляемой в соответствии с настоящим Порядком, являются: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- инвесторы (юридические лица, индивидуальные предприниматели), осуществившие после 1 января 2018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, в соответствии с приоритетными направлениями развития экономики муниципального района;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2018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 соответствии с приоритетными направлениями развития экономики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1.4. Приоритетными направлениями развития экономики муниципального района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инновационных проектов;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строительство промышленных предприятий и предприятий переработки сельскохозяйственной продукции;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производство социально - значимой продукции и услуг;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развитие сельскохозяйственного производства;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строительство социальных и социально значимых объектов;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развитие транспортных коммуникаций, транспорта и связи.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1.5. Срок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 - 3 года.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2. Условия и порядок предоставления льгот по земельному налогу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2.1. Инвестор может претендовать на получение муниципальной поддержки в форме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на основе налогового соглашения, заключаемого между администрацией сельского поселения</w:t>
      </w:r>
      <w:r w:rsidR="00B75C92" w:rsidRP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Малый Атлым 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- Администрация) в лице главы 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B75C92" w:rsidRPr="00B75C92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дминистрации и налогоплательщиком в лице руководителя юридического лица, индивидуального предпринимателя.</w:t>
      </w:r>
      <w:r w:rsidR="00B75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Налоговая льгота вступает в силу с 1 числа квартала, в котором было заключено налоговое соглашение.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2.3. Налоговое соглашение заключается на основании следующих документов, направленных в адрес Администрации: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а) письменное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заявление пользователя на имя г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Малый Атлым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б) копия свидетельства о регистрации;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д) краткое описание (бизнес-план) инвестиционного проекта: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план - график и объемы намечаемых инвестиций;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документ по оценке эквивалента стоимости вносимого имущества (в случае имущественных инвестиций);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2.4. Администрация по согласованию с </w:t>
      </w:r>
      <w:r w:rsidRPr="000C5471">
        <w:rPr>
          <w:rFonts w:ascii="Times New Roman" w:hAnsi="Times New Roman" w:cs="Times New Roman"/>
          <w:b w:val="0"/>
          <w:bCs w:val="0"/>
          <w:sz w:val="24"/>
          <w:szCs w:val="24"/>
        </w:rPr>
        <w:t>Комитетом по управлению муниципальными финансами администрации Октябрьского района (далее - Комитет по управлению муниципальными финансами)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1926D5" w:rsidRPr="00B04D5C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Налоговоесоглашение составляется в 4 экземплярах: 1 экз. - заявителю: 1 экз. - Администрации; 1 экз. - для налоговой инспекции; 1 экз. - в</w:t>
      </w:r>
      <w:r w:rsidRPr="000C54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Комитет по управлению муниципальными финансами.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2.6. Отказ в заключени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2.7. В случае невыполнения условий, предусмотренных в налоговом соглашении: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срока введения в эксплуатацию объектов производственных инвестиций;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уменьшения величины вложенных инвестиций;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досрочного расторжения налогового соглашения пользователем в одностороннем порядке;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3. Ограничения по предоставлению налоговых льгот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3.2. При превышении ограничения, устан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>овленного пунктом 3.1 Порядка, г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лава сельского поселения</w:t>
      </w:r>
      <w:r w:rsidR="008951E1" w:rsidRP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Малый Атлым 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выносит на рассмотрение Совета депутатов сельского поселения</w:t>
      </w:r>
      <w:r w:rsidR="008951E1" w:rsidRP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Малый Атлым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проект решения об ограничении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 при соблюдении следующей последовательности: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снижение до 50% установленной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 по земельному налогу;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приостановка в текущем финансовом году действия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предоставляемой настоящим Порядком.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3.3. Снижение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4. Использование средств, полученных в результате предоставления льгот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4.1. Средства, высвобожденные у налогоплательщика в результате использования </w:t>
      </w:r>
    </w:p>
    <w:p w:rsidR="001926D5" w:rsidRPr="00F31212" w:rsidRDefault="001926D5" w:rsidP="001926D5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5. Контроль и анализ эффективности действия льгот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5.1. Контроль за выполнением налогового соглашения осуществляет Администрация поселения.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5.2. Заявители, пользующиеся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ьготой, ежегодно (нарастающим итогом) представляют в Администрацию сельского поселения</w:t>
      </w:r>
      <w:r w:rsidR="008951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Малый Атлым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отчет о выполнении инвестиционного проекта: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466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расчет суммы средств, высвободившихся в результате применения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отражен в формах статистической отчетности);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5.3.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ьгота.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5.4. Администрация</w:t>
      </w:r>
      <w:r w:rsidR="008C71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ежегодно составляет аналитическую справку о результатах действия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содержащую следующую информацию: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перечень налогоплательщиков, пользующихся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ьготой;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сумма средств, высвободившихся у налогоплательщиков в результате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ьготы, и направление их использования;</w:t>
      </w:r>
    </w:p>
    <w:p w:rsidR="001926D5" w:rsidRPr="00F31212" w:rsidRDefault="001926D5" w:rsidP="001926D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выводы о целесообразности применения установленной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ьготы.</w:t>
      </w:r>
    </w:p>
    <w:p w:rsidR="001926D5" w:rsidRPr="00F31212" w:rsidRDefault="001926D5" w:rsidP="001926D5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5.5. Аналитическая справка по результатам финансового года ежегодно предоставляется Совету депутатов сельского поселения</w:t>
      </w:r>
      <w:r w:rsidR="00046660" w:rsidRPr="000466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6660">
        <w:rPr>
          <w:rFonts w:ascii="Times New Roman" w:hAnsi="Times New Roman" w:cs="Times New Roman"/>
          <w:b w:val="0"/>
          <w:bCs w:val="0"/>
          <w:sz w:val="24"/>
          <w:szCs w:val="24"/>
        </w:rPr>
        <w:t>Малый Атлым</w:t>
      </w:r>
      <w:r w:rsidRPr="00F3121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926D5" w:rsidRPr="00F31212" w:rsidRDefault="001926D5" w:rsidP="001926D5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A25" w:rsidRDefault="00FD3A25" w:rsidP="00FD3A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1926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021A97">
        <w:rPr>
          <w:rFonts w:ascii="Times New Roman" w:hAnsi="Times New Roman" w:cs="Times New Roman"/>
          <w:b w:val="0"/>
          <w:bCs w:val="0"/>
        </w:rPr>
        <w:t>Приложение</w:t>
      </w:r>
      <w:r w:rsidR="00941C0D">
        <w:rPr>
          <w:rFonts w:ascii="Times New Roman" w:hAnsi="Times New Roman" w:cs="Times New Roman"/>
          <w:b w:val="0"/>
          <w:bCs w:val="0"/>
        </w:rPr>
        <w:t xml:space="preserve"> № 2</w:t>
      </w: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021A97">
        <w:rPr>
          <w:rFonts w:ascii="Times New Roman" w:hAnsi="Times New Roman" w:cs="Times New Roman"/>
          <w:b w:val="0"/>
          <w:bCs w:val="0"/>
        </w:rPr>
        <w:t>к решению Совета депутатов</w:t>
      </w:r>
    </w:p>
    <w:p w:rsidR="001926D5" w:rsidRPr="00021A97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</w:rPr>
      </w:pPr>
      <w:r w:rsidRPr="00021A9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="00943C6C">
        <w:rPr>
          <w:rFonts w:ascii="Times New Roman" w:hAnsi="Times New Roman" w:cs="Times New Roman"/>
          <w:b w:val="0"/>
          <w:bCs w:val="0"/>
        </w:rPr>
        <w:t>Малый Атлым</w:t>
      </w:r>
    </w:p>
    <w:p w:rsidR="001926D5" w:rsidRPr="004E2BDF" w:rsidRDefault="001926D5" w:rsidP="001926D5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1A97">
        <w:rPr>
          <w:rFonts w:ascii="Times New Roman" w:hAnsi="Times New Roman" w:cs="Times New Roman"/>
          <w:b w:val="0"/>
          <w:bCs w:val="0"/>
        </w:rPr>
        <w:t>от «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</w:t>
      </w:r>
      <w:r w:rsidR="00221724">
        <w:rPr>
          <w:rFonts w:ascii="Times New Roman" w:hAnsi="Times New Roman" w:cs="Times New Roman"/>
          <w:b w:val="0"/>
          <w:bCs w:val="0"/>
          <w:u w:val="single"/>
        </w:rPr>
        <w:t>12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</w:t>
      </w:r>
      <w:r w:rsidRPr="00021A97">
        <w:rPr>
          <w:rFonts w:ascii="Times New Roman" w:hAnsi="Times New Roman" w:cs="Times New Roman"/>
          <w:b w:val="0"/>
          <w:bCs w:val="0"/>
        </w:rPr>
        <w:t>»</w:t>
      </w:r>
      <w:proofErr w:type="spellStart"/>
      <w:r w:rsidRPr="00021A97">
        <w:rPr>
          <w:rFonts w:ascii="Times New Roman" w:hAnsi="Times New Roman" w:cs="Times New Roman"/>
          <w:b w:val="0"/>
          <w:bCs w:val="0"/>
          <w:u w:val="single"/>
        </w:rPr>
        <w:t>__</w:t>
      </w:r>
      <w:r w:rsidR="00221724">
        <w:rPr>
          <w:rFonts w:ascii="Times New Roman" w:hAnsi="Times New Roman" w:cs="Times New Roman"/>
          <w:b w:val="0"/>
          <w:bCs w:val="0"/>
          <w:u w:val="single"/>
        </w:rPr>
        <w:t>декабря</w:t>
      </w:r>
      <w:proofErr w:type="spellEnd"/>
      <w:r w:rsidR="00221724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_2018</w:t>
      </w:r>
      <w:r w:rsidRPr="00021A97">
        <w:rPr>
          <w:rFonts w:ascii="Times New Roman" w:hAnsi="Times New Roman" w:cs="Times New Roman"/>
          <w:b w:val="0"/>
          <w:bCs w:val="0"/>
        </w:rPr>
        <w:t>г. №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__</w:t>
      </w:r>
      <w:r w:rsidR="00221724">
        <w:rPr>
          <w:rFonts w:ascii="Times New Roman" w:hAnsi="Times New Roman" w:cs="Times New Roman"/>
          <w:b w:val="0"/>
          <w:bCs w:val="0"/>
          <w:u w:val="single"/>
        </w:rPr>
        <w:t>18</w:t>
      </w:r>
      <w:r w:rsidRPr="00021A97">
        <w:rPr>
          <w:rFonts w:ascii="Times New Roman" w:hAnsi="Times New Roman" w:cs="Times New Roman"/>
          <w:b w:val="0"/>
          <w:bCs w:val="0"/>
          <w:u w:val="single"/>
        </w:rPr>
        <w:t>___</w:t>
      </w:r>
    </w:p>
    <w:p w:rsidR="001926D5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5368E">
        <w:rPr>
          <w:b/>
        </w:rPr>
        <w:t>НАЛОГОВОЕ СОГЛАШЕНИЕ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926D5" w:rsidRPr="00B5368E" w:rsidRDefault="00943C6C" w:rsidP="001926D5">
      <w:pPr>
        <w:autoSpaceDE w:val="0"/>
        <w:autoSpaceDN w:val="0"/>
        <w:adjustRightInd w:val="0"/>
        <w:ind w:firstLine="540"/>
        <w:jc w:val="both"/>
      </w:pPr>
      <w:proofErr w:type="gramStart"/>
      <w:r>
        <w:t>с</w:t>
      </w:r>
      <w:proofErr w:type="gramEnd"/>
      <w:r w:rsidR="00FD3A25">
        <w:t>.</w:t>
      </w:r>
      <w:r w:rsidR="00021A97">
        <w:t xml:space="preserve"> </w:t>
      </w:r>
      <w:r>
        <w:t>Малый Атлым</w:t>
      </w:r>
      <w:r w:rsidR="001926D5" w:rsidRPr="00B5368E">
        <w:t xml:space="preserve">   </w:t>
      </w:r>
      <w:r w:rsidR="00021A97">
        <w:t xml:space="preserve">                                                                </w:t>
      </w:r>
      <w:r w:rsidR="001926D5" w:rsidRPr="00B5368E">
        <w:t>«___» _________ _____ г.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943C6C">
      <w:pPr>
        <w:autoSpaceDE w:val="0"/>
        <w:autoSpaceDN w:val="0"/>
        <w:adjustRightInd w:val="0"/>
        <w:ind w:firstLine="540"/>
        <w:jc w:val="both"/>
      </w:pPr>
      <w:proofErr w:type="gramStart"/>
      <w:r w:rsidRPr="00B5368E">
        <w:t xml:space="preserve">Администрация сельского поселения </w:t>
      </w:r>
      <w:r w:rsidR="00943C6C" w:rsidRPr="00943C6C">
        <w:rPr>
          <w:bCs/>
        </w:rPr>
        <w:t>Малый Атлым</w:t>
      </w:r>
      <w:r w:rsidR="00943C6C" w:rsidRPr="00F31212">
        <w:t xml:space="preserve"> </w:t>
      </w:r>
      <w:r>
        <w:t>Октябрь</w:t>
      </w:r>
      <w:r w:rsidRPr="00B5368E">
        <w:t xml:space="preserve">ского муниципального района </w:t>
      </w:r>
      <w:r>
        <w:t xml:space="preserve">Ханты-Мансийского автономного округа-Югры </w:t>
      </w:r>
      <w:r w:rsidRPr="00B5368E">
        <w:t>(далее</w:t>
      </w:r>
      <w:r w:rsidR="00021A97">
        <w:t xml:space="preserve"> - Администрация) в лице Главы </w:t>
      </w:r>
      <w:r w:rsidRPr="00B5368E">
        <w:t xml:space="preserve">сельского поселения </w:t>
      </w:r>
      <w:r>
        <w:t>______________________________</w:t>
      </w:r>
      <w:r w:rsidRPr="00B5368E">
        <w:t>, действующей на основании Устава муниципального образования сельско</w:t>
      </w:r>
      <w:r>
        <w:t>го</w:t>
      </w:r>
      <w:r w:rsidRPr="00B5368E">
        <w:t xml:space="preserve"> поселени</w:t>
      </w:r>
      <w:r>
        <w:t>я</w:t>
      </w:r>
      <w:r w:rsidR="00943C6C">
        <w:t xml:space="preserve"> </w:t>
      </w:r>
      <w:r w:rsidR="00943C6C" w:rsidRPr="00943C6C">
        <w:rPr>
          <w:bCs/>
        </w:rPr>
        <w:t>Малый Атлым</w:t>
      </w:r>
      <w:r w:rsidRPr="00B5368E">
        <w:t>, и ________________________________________________________</w:t>
      </w:r>
      <w:r w:rsidR="00943C6C">
        <w:rPr>
          <w:u w:val="single"/>
        </w:rPr>
        <w:t xml:space="preserve">  </w:t>
      </w:r>
      <w:r w:rsidRPr="00B5368E">
        <w:t>(далее Налогоплательщик) в лице ______________________________________________,     действующего на основании _____________________________________________,    руководствуясь решением Совета депутатов сель</w:t>
      </w:r>
      <w:r w:rsidR="00943C6C">
        <w:t>ского поселения</w:t>
      </w:r>
      <w:r w:rsidR="00943C6C" w:rsidRPr="00943C6C">
        <w:rPr>
          <w:b/>
          <w:bCs/>
        </w:rPr>
        <w:t xml:space="preserve"> </w:t>
      </w:r>
      <w:r w:rsidR="00943C6C" w:rsidRPr="00943C6C">
        <w:rPr>
          <w:bCs/>
        </w:rPr>
        <w:t>Малый Атлым</w:t>
      </w:r>
      <w:r w:rsidR="00943C6C">
        <w:rPr>
          <w:b/>
          <w:bCs/>
        </w:rPr>
        <w:t xml:space="preserve"> </w:t>
      </w:r>
      <w:r w:rsidRPr="00B5368E">
        <w:t xml:space="preserve">от «___»_________ 20__ г. № _____, </w:t>
      </w:r>
      <w:r w:rsidR="00943C6C">
        <w:t xml:space="preserve"> </w:t>
      </w:r>
      <w:r w:rsidRPr="00B5368E">
        <w:t>заключили настоящее соглашение о нижеследующем:</w:t>
      </w:r>
      <w:proofErr w:type="gramEnd"/>
    </w:p>
    <w:p w:rsidR="001926D5" w:rsidRPr="00B5368E" w:rsidRDefault="001926D5" w:rsidP="00943C6C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 xml:space="preserve"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</w:t>
      </w:r>
      <w:r w:rsidR="00FD3A25" w:rsidRPr="00B5368E">
        <w:t>проекта: _</w:t>
      </w:r>
      <w:r w:rsidRPr="00B5368E">
        <w:t>____________</w:t>
      </w:r>
      <w:r w:rsidR="008C71C0">
        <w:t>_________________________</w:t>
      </w:r>
    </w:p>
    <w:p w:rsidR="001926D5" w:rsidRPr="00B5368E" w:rsidRDefault="001926D5" w:rsidP="008C71C0">
      <w:pPr>
        <w:autoSpaceDE w:val="0"/>
        <w:autoSpaceDN w:val="0"/>
        <w:adjustRightInd w:val="0"/>
        <w:jc w:val="both"/>
      </w:pPr>
      <w:r w:rsidRPr="00B5368E">
        <w:t>____________________________________________________________________</w:t>
      </w:r>
      <w:r w:rsidR="008C71C0">
        <w:t>_________</w:t>
      </w:r>
    </w:p>
    <w:p w:rsidR="001926D5" w:rsidRPr="00B5368E" w:rsidRDefault="001926D5" w:rsidP="008C71C0">
      <w:pPr>
        <w:autoSpaceDE w:val="0"/>
        <w:autoSpaceDN w:val="0"/>
        <w:adjustRightInd w:val="0"/>
        <w:ind w:firstLine="540"/>
        <w:jc w:val="center"/>
      </w:pPr>
      <w:r w:rsidRPr="00B5368E">
        <w:t>(наименование инвестиционного проекта)</w:t>
      </w:r>
    </w:p>
    <w:p w:rsidR="001926D5" w:rsidRPr="00B5368E" w:rsidRDefault="001926D5" w:rsidP="008C71C0">
      <w:pPr>
        <w:autoSpaceDE w:val="0"/>
        <w:autoSpaceDN w:val="0"/>
        <w:adjustRightInd w:val="0"/>
        <w:jc w:val="both"/>
      </w:pPr>
      <w:r w:rsidRPr="00B5368E">
        <w:t>на срок ______________________.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2. Налогоплательщик обязуется ежегодно (нарастающим итогом) со дня подписания настоящего соглашения представлять в Администрацию</w:t>
      </w:r>
      <w:r>
        <w:t xml:space="preserve"> сельского поселения </w:t>
      </w:r>
      <w:r w:rsidR="00E45D55" w:rsidRPr="00E45D55">
        <w:rPr>
          <w:bCs/>
        </w:rPr>
        <w:t>Малый Атлым</w:t>
      </w:r>
      <w:r w:rsidR="00E45D55">
        <w:rPr>
          <w:b/>
          <w:bCs/>
        </w:rPr>
        <w:t xml:space="preserve"> </w:t>
      </w:r>
      <w:r w:rsidRPr="00B5368E">
        <w:t>отчет о выполнении инвестиционного проекта: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1926D5" w:rsidRPr="00B5368E" w:rsidRDefault="001926D5" w:rsidP="001926D5">
      <w:pPr>
        <w:autoSpaceDE w:val="0"/>
        <w:autoSpaceDN w:val="0"/>
        <w:adjustRightInd w:val="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3. В случае невыполнения следующих условий: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срока введения в эксплуатацию объекта производственных инвестиций;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уменьшения величины вложенных инвестиций;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досрочного расторжения налогового соглашения налогоплательщиком в одностороннем порядке;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- непредставления в Администрацию сведений, предусмотренных п. 2 настоящего соглашения, налогоплательщик в бесспорном порядке выплачива</w:t>
      </w:r>
      <w:r w:rsidR="00E45D55">
        <w:t xml:space="preserve">ет в бюджет сельского поселения </w:t>
      </w:r>
      <w:r w:rsidR="00E45D55" w:rsidRPr="00E45D55">
        <w:rPr>
          <w:bCs/>
        </w:rPr>
        <w:t>Малый Атлым</w:t>
      </w:r>
      <w:r w:rsidR="00E45D55">
        <w:rPr>
          <w:b/>
          <w:bCs/>
        </w:rPr>
        <w:t xml:space="preserve"> </w:t>
      </w:r>
      <w:r w:rsidRPr="00B5368E">
        <w:t>полную сумму налогов, которые не были внесены в течение всего срока пользования налоговой льготой по данному соглашению.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4. Ад</w:t>
      </w:r>
      <w:r w:rsidR="00E45D55">
        <w:t xml:space="preserve">министрация сельского поселения </w:t>
      </w:r>
      <w:r w:rsidR="00E45D55" w:rsidRPr="00E45D55">
        <w:rPr>
          <w:bCs/>
        </w:rPr>
        <w:t>Малый Атлым</w:t>
      </w:r>
      <w:r w:rsidR="00E45D55">
        <w:rPr>
          <w:b/>
          <w:bCs/>
        </w:rPr>
        <w:t xml:space="preserve"> </w:t>
      </w:r>
      <w:r w:rsidRPr="00B5368E">
        <w:t>в</w:t>
      </w:r>
      <w:r w:rsidR="00021A97">
        <w:t xml:space="preserve"> </w:t>
      </w:r>
      <w:r w:rsidRPr="00B5368E">
        <w:t xml:space="preserve">праве частично или полностью приостановить действие налоговой </w:t>
      </w:r>
      <w:r>
        <w:t>Л</w:t>
      </w:r>
      <w:r w:rsidRPr="00B5368E">
        <w:t xml:space="preserve">ьготы, предусмотренной настоящим соглашением, если сумма выпадающих собственных доходов местного бюджета от </w:t>
      </w:r>
      <w:r w:rsidRPr="00B5368E">
        <w:lastRenderedPageBreak/>
        <w:t xml:space="preserve">применения налоговой льготы превысит 5 % объема фактических доходов бюджета сельского </w:t>
      </w:r>
      <w:r w:rsidR="00E45D55">
        <w:t xml:space="preserve">поселения </w:t>
      </w:r>
      <w:r w:rsidR="00E45D55" w:rsidRPr="00E45D55">
        <w:rPr>
          <w:bCs/>
        </w:rPr>
        <w:t>Малый Атлым</w:t>
      </w:r>
      <w:r w:rsidR="00E45D55">
        <w:rPr>
          <w:b/>
          <w:bCs/>
        </w:rPr>
        <w:t xml:space="preserve"> </w:t>
      </w:r>
      <w:r w:rsidRPr="00B5368E">
        <w:t>за 1 год.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  <w:r w:rsidRPr="00B5368E"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E45D55" w:rsidRDefault="001926D5" w:rsidP="00E45D55">
      <w:pPr>
        <w:autoSpaceDE w:val="0"/>
        <w:autoSpaceDN w:val="0"/>
        <w:adjustRightInd w:val="0"/>
        <w:ind w:firstLine="540"/>
        <w:jc w:val="both"/>
      </w:pPr>
      <w:r w:rsidRPr="00B5368E">
        <w:t xml:space="preserve">6. Итоговый отчет должен быть рассмотрен согласующими сторонами в </w:t>
      </w:r>
      <w:proofErr w:type="gramStart"/>
      <w:r w:rsidRPr="00B5368E">
        <w:t>срок</w:t>
      </w:r>
      <w:proofErr w:type="gramEnd"/>
      <w:r w:rsidRPr="00B5368E">
        <w:t xml:space="preserve"> не превышающий 30 календарных дней со дня его подачи.</w:t>
      </w:r>
    </w:p>
    <w:p w:rsidR="00E45D55" w:rsidRDefault="00E45D55" w:rsidP="00E45D5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E45D55" w:rsidP="00E45D55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r w:rsidR="001926D5" w:rsidRPr="00B5368E">
        <w:t xml:space="preserve">Условия настоящего соглашения считаются полностью исполненными после истечения срока предоставления налоговой </w:t>
      </w:r>
      <w:r w:rsidR="001926D5">
        <w:t>Л</w:t>
      </w:r>
      <w:r w:rsidR="001926D5" w:rsidRPr="00B5368E">
        <w:t>ьготы и утверждения Администрацией сельского поселения</w:t>
      </w:r>
      <w:r w:rsidRPr="00E45D55">
        <w:rPr>
          <w:b/>
          <w:bCs/>
        </w:rPr>
        <w:t xml:space="preserve"> </w:t>
      </w:r>
      <w:r w:rsidRPr="00E45D55">
        <w:rPr>
          <w:bCs/>
        </w:rPr>
        <w:t>Малый Атлым</w:t>
      </w:r>
      <w:r w:rsidR="001926D5">
        <w:t>,</w:t>
      </w:r>
      <w:r w:rsidR="001926D5" w:rsidRPr="00B5368E">
        <w:t xml:space="preserve"> согласованного с </w:t>
      </w:r>
      <w:r w:rsidR="001926D5" w:rsidRPr="000C5471">
        <w:rPr>
          <w:bCs/>
        </w:rPr>
        <w:t xml:space="preserve">Комитетом по управлению муниципальными финансами администрации Октябрьского муниципального района </w:t>
      </w:r>
      <w:r w:rsidR="001926D5" w:rsidRPr="000C5471">
        <w:t>итогов</w:t>
      </w:r>
      <w:r w:rsidR="001926D5" w:rsidRPr="00B5368E">
        <w:t>ого отчета.</w:t>
      </w: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070"/>
      </w:tblGrid>
      <w:tr w:rsidR="001926D5" w:rsidRPr="00B5368E" w:rsidTr="003A1973">
        <w:trPr>
          <w:trHeight w:val="645"/>
        </w:trPr>
        <w:tc>
          <w:tcPr>
            <w:tcW w:w="4962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От администрации</w:t>
            </w:r>
          </w:p>
        </w:tc>
        <w:tc>
          <w:tcPr>
            <w:tcW w:w="5070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От налогоплательщика</w:t>
            </w:r>
          </w:p>
        </w:tc>
      </w:tr>
      <w:tr w:rsidR="001926D5" w:rsidRPr="00B5368E" w:rsidTr="003A1973">
        <w:trPr>
          <w:trHeight w:val="555"/>
        </w:trPr>
        <w:tc>
          <w:tcPr>
            <w:tcW w:w="4962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______________________</w:t>
            </w:r>
          </w:p>
        </w:tc>
        <w:tc>
          <w:tcPr>
            <w:tcW w:w="5070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______________________</w:t>
            </w:r>
          </w:p>
        </w:tc>
      </w:tr>
      <w:tr w:rsidR="001926D5" w:rsidRPr="00B5368E" w:rsidTr="003A1973">
        <w:tc>
          <w:tcPr>
            <w:tcW w:w="4962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М.П.</w:t>
            </w:r>
          </w:p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</w:p>
        </w:tc>
        <w:tc>
          <w:tcPr>
            <w:tcW w:w="5070" w:type="dxa"/>
            <w:shd w:val="clear" w:color="auto" w:fill="auto"/>
          </w:tcPr>
          <w:p w:rsidR="001926D5" w:rsidRPr="00B5368E" w:rsidRDefault="001926D5" w:rsidP="003A1973">
            <w:pPr>
              <w:autoSpaceDE w:val="0"/>
              <w:autoSpaceDN w:val="0"/>
              <w:adjustRightInd w:val="0"/>
              <w:ind w:firstLine="540"/>
              <w:jc w:val="both"/>
              <w:rPr>
                <w:lang w:bidi="en-US"/>
              </w:rPr>
            </w:pPr>
            <w:r w:rsidRPr="00B5368E">
              <w:rPr>
                <w:lang w:bidi="en-US"/>
              </w:rPr>
              <w:t>М.П.</w:t>
            </w:r>
          </w:p>
        </w:tc>
      </w:tr>
    </w:tbl>
    <w:p w:rsidR="001926D5" w:rsidRPr="00B5368E" w:rsidRDefault="001926D5" w:rsidP="001926D5">
      <w:pPr>
        <w:autoSpaceDE w:val="0"/>
        <w:autoSpaceDN w:val="0"/>
        <w:adjustRightInd w:val="0"/>
        <w:ind w:firstLine="540"/>
        <w:jc w:val="both"/>
      </w:pPr>
    </w:p>
    <w:p w:rsidR="001926D5" w:rsidRPr="00B5368E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B5368E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Pr="00B5368E" w:rsidRDefault="001926D5" w:rsidP="001926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26D5" w:rsidRDefault="001926D5" w:rsidP="00A21A4F">
      <w:pPr>
        <w:tabs>
          <w:tab w:val="left" w:pos="10065"/>
          <w:tab w:val="left" w:pos="12474"/>
        </w:tabs>
      </w:pPr>
    </w:p>
    <w:p w:rsidR="00A21A4F" w:rsidRDefault="00A21A4F" w:rsidP="00A21A4F">
      <w:pPr>
        <w:rPr>
          <w:sz w:val="18"/>
          <w:szCs w:val="18"/>
        </w:rPr>
      </w:pPr>
      <w:bookmarkStart w:id="0" w:name="_GoBack"/>
      <w:bookmarkEnd w:id="0"/>
    </w:p>
    <w:p w:rsidR="00A21A4F" w:rsidRDefault="00A21A4F" w:rsidP="00A21A4F">
      <w:pPr>
        <w:rPr>
          <w:sz w:val="18"/>
          <w:szCs w:val="18"/>
        </w:rPr>
      </w:pPr>
    </w:p>
    <w:p w:rsidR="00A21A4F" w:rsidRDefault="00A21A4F" w:rsidP="00A21A4F">
      <w:pPr>
        <w:rPr>
          <w:sz w:val="18"/>
          <w:szCs w:val="18"/>
        </w:rPr>
      </w:pPr>
    </w:p>
    <w:p w:rsidR="00A21A4F" w:rsidRDefault="00A21A4F" w:rsidP="00A21A4F">
      <w:pPr>
        <w:rPr>
          <w:sz w:val="18"/>
          <w:szCs w:val="18"/>
        </w:rPr>
      </w:pPr>
    </w:p>
    <w:p w:rsidR="00A21A4F" w:rsidRDefault="00A21A4F" w:rsidP="00A21A4F">
      <w:pPr>
        <w:rPr>
          <w:sz w:val="18"/>
          <w:szCs w:val="18"/>
        </w:rPr>
      </w:pPr>
    </w:p>
    <w:p w:rsidR="00A21A4F" w:rsidRPr="00586A99" w:rsidRDefault="00A21A4F" w:rsidP="00A21A4F">
      <w:pPr>
        <w:jc w:val="both"/>
      </w:pPr>
    </w:p>
    <w:p w:rsidR="00A21A4F" w:rsidRPr="00586A99" w:rsidRDefault="00A21A4F" w:rsidP="00A21A4F">
      <w:pPr>
        <w:jc w:val="both"/>
      </w:pPr>
    </w:p>
    <w:p w:rsidR="00A21A4F" w:rsidRDefault="00A21A4F" w:rsidP="00A21A4F">
      <w:pPr>
        <w:ind w:firstLine="540"/>
        <w:jc w:val="right"/>
        <w:rPr>
          <w:sz w:val="20"/>
          <w:szCs w:val="20"/>
        </w:rPr>
      </w:pPr>
    </w:p>
    <w:p w:rsidR="00A21A4F" w:rsidRPr="00122A7A" w:rsidRDefault="00A21A4F" w:rsidP="00A21A4F"/>
    <w:p w:rsidR="00A21A4F" w:rsidRDefault="00A21A4F" w:rsidP="00A21A4F"/>
    <w:p w:rsidR="00E537A9" w:rsidRDefault="00E537A9"/>
    <w:sectPr w:rsidR="00E537A9" w:rsidSect="00122A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35E0"/>
    <w:multiLevelType w:val="multilevel"/>
    <w:tmpl w:val="D91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A4F"/>
    <w:rsid w:val="00021A97"/>
    <w:rsid w:val="00046660"/>
    <w:rsid w:val="000F6BB7"/>
    <w:rsid w:val="001926D5"/>
    <w:rsid w:val="00221724"/>
    <w:rsid w:val="003630FE"/>
    <w:rsid w:val="005175EE"/>
    <w:rsid w:val="00741264"/>
    <w:rsid w:val="007B60A9"/>
    <w:rsid w:val="008951E1"/>
    <w:rsid w:val="008C71C0"/>
    <w:rsid w:val="00927C2D"/>
    <w:rsid w:val="00941C0D"/>
    <w:rsid w:val="00943C6C"/>
    <w:rsid w:val="009E383C"/>
    <w:rsid w:val="00A21A4F"/>
    <w:rsid w:val="00B75C92"/>
    <w:rsid w:val="00BF07DB"/>
    <w:rsid w:val="00BF2A07"/>
    <w:rsid w:val="00C02858"/>
    <w:rsid w:val="00C557A3"/>
    <w:rsid w:val="00E45D55"/>
    <w:rsid w:val="00E537A9"/>
    <w:rsid w:val="00FB2DBB"/>
    <w:rsid w:val="00FD3A25"/>
    <w:rsid w:val="00FE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1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21A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1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A4F"/>
    <w:pPr>
      <w:ind w:left="720"/>
      <w:contextualSpacing/>
    </w:pPr>
  </w:style>
  <w:style w:type="paragraph" w:customStyle="1" w:styleId="ConsPlusTitle">
    <w:name w:val="ConsPlusTitle"/>
    <w:uiPriority w:val="99"/>
    <w:rsid w:val="00A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A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27C2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2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F0C0-77EF-4285-B495-F97D1DA8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ИКМО</cp:lastModifiedBy>
  <cp:revision>15</cp:revision>
  <cp:lastPrinted>2018-12-12T09:34:00Z</cp:lastPrinted>
  <dcterms:created xsi:type="dcterms:W3CDTF">2018-11-12T06:32:00Z</dcterms:created>
  <dcterms:modified xsi:type="dcterms:W3CDTF">2018-12-20T06:28:00Z</dcterms:modified>
</cp:coreProperties>
</file>