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C30F57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-211455</wp:posOffset>
            </wp:positionV>
            <wp:extent cx="489585" cy="60960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5719D4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991E3F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Октябрьского района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5719D4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2D0F09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153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6F11DB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5719D4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991E3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 w:rsidR="006A51AB"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жилищному муниципальному</w:t>
            </w:r>
          </w:p>
          <w:p w:rsidR="003D3030" w:rsidRPr="003D3030" w:rsidRDefault="003D3030" w:rsidP="007F7DFE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  <w:r w:rsidRPr="003D3030">
              <w:rPr>
                <w:sz w:val="26"/>
                <w:szCs w:val="26"/>
              </w:rPr>
              <w:t>контролю на 202</w:t>
            </w:r>
            <w:r w:rsidR="006A51AB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991E3F">
              <w:rPr>
                <w:sz w:val="26"/>
                <w:szCs w:val="26"/>
              </w:rPr>
              <w:t>Малый Атлым</w:t>
            </w:r>
            <w:proofErr w:type="gramEnd"/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>рограмму профилактики рисков причинения вреда (ущерба) охраняемым законом ценностям по жилищному муниципальному контролю на 202</w:t>
            </w:r>
            <w:r w:rsidR="006A51AB">
              <w:rPr>
                <w:sz w:val="26"/>
                <w:szCs w:val="26"/>
              </w:rPr>
              <w:t>5</w:t>
            </w:r>
            <w:r w:rsidR="007F7DFE">
              <w:rPr>
                <w:sz w:val="26"/>
                <w:szCs w:val="26"/>
              </w:rPr>
              <w:t xml:space="preserve"> год. </w:t>
            </w:r>
            <w:r w:rsidR="00640FAF">
              <w:rPr>
                <w:sz w:val="26"/>
                <w:szCs w:val="26"/>
              </w:rPr>
              <w:t>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веб-сайте администрации поселения 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991E3F">
              <w:rPr>
                <w:sz w:val="26"/>
                <w:szCs w:val="26"/>
              </w:rPr>
              <w:t>собой.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991E3F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 Глава сельского поселения </w:t>
            </w:r>
            <w:r>
              <w:rPr>
                <w:sz w:val="26"/>
                <w:szCs w:val="26"/>
              </w:rPr>
              <w:t>Малый Атлым</w:t>
            </w:r>
            <w:r w:rsidR="003D3030" w:rsidRPr="003D3030">
              <w:rPr>
                <w:sz w:val="26"/>
                <w:szCs w:val="26"/>
              </w:rPr>
              <w:tab/>
              <w:t xml:space="preserve">                                  </w:t>
            </w:r>
            <w:r>
              <w:rPr>
                <w:sz w:val="26"/>
                <w:szCs w:val="26"/>
              </w:rPr>
              <w:t>Дейнеко С.В.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3D3030" w:rsidRPr="003D3030" w:rsidRDefault="003D3030" w:rsidP="00CF2DB9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91E3F" w:rsidRDefault="00991E3F" w:rsidP="003D3030">
      <w:pPr>
        <w:pStyle w:val="a6"/>
        <w:rPr>
          <w:sz w:val="26"/>
          <w:szCs w:val="26"/>
        </w:rPr>
      </w:pPr>
    </w:p>
    <w:p w:rsidR="00962C81" w:rsidRPr="003D3030" w:rsidRDefault="00991E3F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640FAF">
        <w:rPr>
          <w:sz w:val="26"/>
          <w:szCs w:val="26"/>
        </w:rPr>
        <w:t xml:space="preserve">Приложение </w:t>
      </w:r>
      <w:proofErr w:type="gramStart"/>
      <w:r w:rsidR="00640FAF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991E3F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>профилактики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</w:t>
      </w:r>
      <w:r w:rsidR="00E36A63" w:rsidRPr="003D3030">
        <w:rPr>
          <w:b/>
          <w:sz w:val="26"/>
          <w:szCs w:val="26"/>
        </w:rPr>
        <w:t xml:space="preserve">жилищному </w:t>
      </w:r>
      <w:r w:rsidRPr="003D3030">
        <w:rPr>
          <w:b/>
          <w:sz w:val="26"/>
          <w:szCs w:val="26"/>
        </w:rPr>
        <w:t>муниципальному контролю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6A51AB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37333F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7F7DFE" w:rsidRDefault="00962C81" w:rsidP="0037333F">
      <w:pPr>
        <w:pStyle w:val="a6"/>
        <w:jc w:val="both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</w:t>
      </w:r>
      <w:r w:rsidR="00E36A63" w:rsidRPr="003D3030">
        <w:rPr>
          <w:sz w:val="26"/>
          <w:szCs w:val="26"/>
        </w:rPr>
        <w:t xml:space="preserve">жилищного </w:t>
      </w:r>
      <w:r w:rsidRPr="003D3030">
        <w:rPr>
          <w:sz w:val="26"/>
          <w:szCs w:val="26"/>
        </w:rPr>
        <w:t>муниципального контроля 202</w:t>
      </w:r>
      <w:r w:rsidR="006A51AB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proofErr w:type="gramStart"/>
      <w:r w:rsidR="003A0EE4" w:rsidRPr="003D3030">
        <w:rPr>
          <w:sz w:val="26"/>
          <w:szCs w:val="26"/>
        </w:rPr>
        <w:t xml:space="preserve"> </w:t>
      </w:r>
      <w:r w:rsidR="007F7DFE">
        <w:rPr>
          <w:sz w:val="26"/>
          <w:szCs w:val="26"/>
        </w:rPr>
        <w:t>.</w:t>
      </w:r>
      <w:proofErr w:type="gramEnd"/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bookmarkStart w:id="4" w:name="_GoBack"/>
      <w:bookmarkEnd w:id="4"/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640FA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640FAF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962C81" w:rsidRPr="003D3030" w:rsidTr="000D0DFC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0D0DFC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293ADF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  <w:tr w:rsidR="00962C81" w:rsidRPr="003D3030" w:rsidTr="00016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  <w:lang w:val="en-US"/>
              </w:rPr>
              <w:t>II</w:t>
            </w:r>
            <w:r w:rsidRPr="000D0DFC">
              <w:rPr>
                <w:iCs/>
                <w:sz w:val="26"/>
                <w:szCs w:val="26"/>
              </w:rPr>
              <w:t xml:space="preserve">, </w:t>
            </w:r>
            <w:r w:rsidRPr="000D0DFC">
              <w:rPr>
                <w:iCs/>
                <w:sz w:val="26"/>
                <w:szCs w:val="26"/>
                <w:lang w:val="en-US"/>
              </w:rPr>
              <w:t>IV</w:t>
            </w:r>
            <w:r w:rsidRPr="000D0DFC">
              <w:rPr>
                <w:iCs/>
                <w:sz w:val="26"/>
                <w:szCs w:val="26"/>
              </w:rPr>
              <w:t xml:space="preserve"> квартал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91E3F" w:rsidP="000D0DFC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Заместитель главы сельского поселения Малый Атлым, главный специалист по управлению муниципальным имущество</w:t>
            </w:r>
            <w:r w:rsidR="006A51AB">
              <w:rPr>
                <w:iCs/>
                <w:sz w:val="26"/>
                <w:szCs w:val="26"/>
              </w:rPr>
              <w:t>м</w:t>
            </w:r>
            <w:r>
              <w:rPr>
                <w:iCs/>
                <w:sz w:val="26"/>
                <w:szCs w:val="26"/>
              </w:rPr>
              <w:t xml:space="preserve"> администрации сельского поселения Малый Атлым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946"/>
        <w:gridCol w:w="2485"/>
      </w:tblGrid>
      <w:tr w:rsidR="00962C81" w:rsidRPr="003D3030" w:rsidTr="000D0DFC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0D0DFC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0D0DF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962C81" w:rsidRPr="003D3030" w:rsidRDefault="00962C81" w:rsidP="003D3030">
      <w:pPr>
        <w:pStyle w:val="a6"/>
        <w:rPr>
          <w:sz w:val="26"/>
          <w:szCs w:val="26"/>
        </w:rPr>
        <w:sectPr w:rsidR="00962C81" w:rsidRPr="003D3030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06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2D"/>
    <w:rsid w:val="00043BEA"/>
    <w:rsid w:val="0006056F"/>
    <w:rsid w:val="000D0DFC"/>
    <w:rsid w:val="001538F8"/>
    <w:rsid w:val="001A3148"/>
    <w:rsid w:val="00277370"/>
    <w:rsid w:val="00293ADF"/>
    <w:rsid w:val="002D0F09"/>
    <w:rsid w:val="0037333F"/>
    <w:rsid w:val="003A0EE4"/>
    <w:rsid w:val="003D3030"/>
    <w:rsid w:val="004C488D"/>
    <w:rsid w:val="004F31AE"/>
    <w:rsid w:val="00597DFF"/>
    <w:rsid w:val="005E6E56"/>
    <w:rsid w:val="00640FAF"/>
    <w:rsid w:val="00682AC2"/>
    <w:rsid w:val="006A51AB"/>
    <w:rsid w:val="006F11DB"/>
    <w:rsid w:val="0074122D"/>
    <w:rsid w:val="007F7DFE"/>
    <w:rsid w:val="00962C81"/>
    <w:rsid w:val="00991E3F"/>
    <w:rsid w:val="009A7632"/>
    <w:rsid w:val="00A6693F"/>
    <w:rsid w:val="00AA2E1F"/>
    <w:rsid w:val="00B74E8C"/>
    <w:rsid w:val="00C30F57"/>
    <w:rsid w:val="00CF2DB9"/>
    <w:rsid w:val="00E36A63"/>
    <w:rsid w:val="00F25306"/>
    <w:rsid w:val="00F4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E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Сазонтова Ирина Петровна</dc:creator>
  <cp:keywords/>
  <dc:description/>
  <cp:lastModifiedBy>ИКМО</cp:lastModifiedBy>
  <cp:revision>26</cp:revision>
  <cp:lastPrinted>2024-01-15T06:59:00Z</cp:lastPrinted>
  <dcterms:created xsi:type="dcterms:W3CDTF">2021-10-01T04:32:00Z</dcterms:created>
  <dcterms:modified xsi:type="dcterms:W3CDTF">2024-10-09T04:50:00Z</dcterms:modified>
</cp:coreProperties>
</file>